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88" w:before="0" w:after="0"/>
        <w:jc w:val="center"/>
        <w:rPr>
          <w:rFonts w:ascii="Arial" w:hAnsi="Arial" w:eastAsia="Arial" w:cs="Arial"/>
          <w:color w:val="000000"/>
          <w:sz w:val="24"/>
          <w:szCs w:val="24"/>
          <w:lang w:eastAsia="zh-CN"/>
        </w:rPr>
      </w:pPr>
      <w:r>
        <w:rPr>
          <w:rFonts w:eastAsia="Arial" w:cs="Arial" w:ascii="Arial" w:hAnsi="Arial"/>
          <w:color w:val="000000"/>
          <w:sz w:val="24"/>
          <w:szCs w:val="24"/>
          <w:lang w:eastAsia="zh-CN"/>
        </w:rPr>
      </w:r>
    </w:p>
    <w:tbl>
      <w:tblPr>
        <w:tblW w:w="8080" w:type="dxa"/>
        <w:jc w:val="center"/>
        <w:tblInd w:w="0" w:type="dxa"/>
        <w:tblLayout w:type="fixed"/>
        <w:tblCellMar>
          <w:top w:w="0" w:type="dxa"/>
          <w:left w:w="112" w:type="dxa"/>
          <w:bottom w:w="0" w:type="dxa"/>
          <w:right w:w="112" w:type="dxa"/>
        </w:tblCellMar>
        <w:tblLook w:firstRow="0" w:noVBand="1" w:lastRow="0" w:firstColumn="0" w:lastColumn="0" w:noHBand="1" w:val="0600"/>
      </w:tblPr>
      <w:tblGrid>
        <w:gridCol w:w="8080"/>
      </w:tblGrid>
      <w:tr>
        <w:trPr>
          <w:trHeight w:val="1" w:hRule="atLeast"/>
        </w:trPr>
        <w:tc>
          <w:tcPr>
            <w:tcW w:w="8080" w:type="dxa"/>
            <w:tcBorders>
              <w:top w:val="single" w:sz="8" w:space="0" w:color="836967"/>
              <w:left w:val="single" w:sz="8" w:space="0" w:color="836967"/>
              <w:bottom w:val="single" w:sz="8" w:space="0" w:color="836967"/>
              <w:right w:val="single" w:sz="8" w:space="0" w:color="836967"/>
            </w:tcBorders>
            <w:shd w:color="auto" w:fill="auto" w:val="clear"/>
            <w:vAlign w:val="center"/>
          </w:tcPr>
          <w:p>
            <w:pPr>
              <w:pStyle w:val="Normal"/>
              <w:keepNext w:val="true"/>
              <w:widowControl w:val="false"/>
              <w:suppressAutoHyphens w:val="true"/>
              <w:spacing w:lineRule="auto" w:line="240" w:before="0" w:after="0"/>
              <w:jc w:val="center"/>
              <w:rPr>
                <w:rFonts w:ascii="Verdana" w:hAnsi="Verdana" w:eastAsia="Verdana" w:cs="Verdana"/>
                <w:b/>
                <w:b/>
                <w:sz w:val="26"/>
                <w:szCs w:val="24"/>
                <w:lang w:eastAsia="zh-CN"/>
              </w:rPr>
            </w:pPr>
            <w:r>
              <w:rPr>
                <w:rFonts w:eastAsia="Verdana" w:cs="Verdana" w:ascii="Verdana" w:hAnsi="Verdana"/>
                <w:b/>
                <w:sz w:val="26"/>
                <w:szCs w:val="24"/>
                <w:lang w:eastAsia="zh-CN"/>
              </w:rPr>
              <w:t>SECRETARIA DE AGRICULTURA E ABASTECIMENTO</w:t>
            </w:r>
          </w:p>
          <w:p>
            <w:pPr>
              <w:pStyle w:val="Normal"/>
              <w:keepNext w:val="true"/>
              <w:widowControl w:val="false"/>
              <w:suppressAutoHyphens w:val="true"/>
              <w:spacing w:lineRule="auto" w:line="240" w:before="0" w:after="0"/>
              <w:jc w:val="center"/>
              <w:rPr>
                <w:rFonts w:ascii="Verdana" w:hAnsi="Verdana" w:eastAsia="Verdana" w:cs="Verdana"/>
                <w:spacing w:val="73"/>
                <w:sz w:val="24"/>
                <w:szCs w:val="24"/>
                <w:lang w:eastAsia="zh-CN"/>
              </w:rPr>
            </w:pPr>
            <w:r>
              <w:rPr>
                <w:rFonts w:eastAsia="Verdana" w:cs="Verdana" w:ascii="Verdana" w:hAnsi="Verdana"/>
                <w:b/>
                <w:sz w:val="24"/>
                <w:szCs w:val="24"/>
                <w:lang w:eastAsia="zh-CN"/>
              </w:rPr>
              <w:t>GABINETE DO SECRETÁRIO</w:t>
            </w:r>
          </w:p>
          <w:p>
            <w:pPr>
              <w:pStyle w:val="Normal"/>
              <w:keepNext w:val="true"/>
              <w:widowControl w:val="false"/>
              <w:suppressAutoHyphens w:val="true"/>
              <w:spacing w:lineRule="auto" w:line="240" w:before="0" w:after="0"/>
              <w:jc w:val="center"/>
              <w:rPr>
                <w:rFonts w:ascii="Verdana" w:hAnsi="Verdana" w:eastAsia="Verdana" w:cs="Verdana"/>
                <w:sz w:val="16"/>
                <w:szCs w:val="24"/>
                <w:lang w:eastAsia="zh-CN"/>
              </w:rPr>
            </w:pPr>
            <w:r>
              <w:rPr>
                <w:rFonts w:eastAsia="Verdana" w:cs="Verdana" w:ascii="Verdana" w:hAnsi="Verdana"/>
                <w:sz w:val="16"/>
                <w:szCs w:val="24"/>
                <w:lang w:eastAsia="zh-CN"/>
              </w:rPr>
            </w:r>
          </w:p>
          <w:p>
            <w:pPr>
              <w:pStyle w:val="Normal"/>
              <w:keepNext w:val="true"/>
              <w:widowControl w:val="false"/>
              <w:suppressAutoHyphens w:val="true"/>
              <w:spacing w:lineRule="auto" w:line="240" w:before="0" w:after="0"/>
              <w:jc w:val="center"/>
              <w:rPr>
                <w:rFonts w:ascii="Verdana" w:hAnsi="Verdana" w:eastAsia="Verdana" w:cs="Verdana"/>
                <w:i/>
                <w:i/>
                <w:sz w:val="16"/>
                <w:szCs w:val="24"/>
                <w:lang w:eastAsia="zh-CN"/>
              </w:rPr>
            </w:pPr>
            <w:r>
              <w:rPr>
                <w:rFonts w:eastAsia="Verdana" w:cs="Verdana" w:ascii="Verdana" w:hAnsi="Verdana"/>
                <w:i/>
                <w:sz w:val="16"/>
                <w:szCs w:val="24"/>
                <w:lang w:eastAsia="zh-CN"/>
              </w:rPr>
              <w:t>Praça Ramos de Azevedo, 254, 7º andar, Centro, São Paulo/SP</w:t>
            </w:r>
          </w:p>
          <w:p>
            <w:pPr>
              <w:pStyle w:val="Normal"/>
              <w:widowControl w:val="false"/>
              <w:suppressAutoHyphens w:val="true"/>
              <w:spacing w:lineRule="auto" w:line="240" w:before="0" w:after="0"/>
              <w:jc w:val="center"/>
              <w:rPr>
                <w:rFonts w:ascii="Times New Roman" w:hAnsi="Times New Roman" w:eastAsia="Times New Roman" w:cs="Times New Roman"/>
                <w:sz w:val="24"/>
                <w:szCs w:val="24"/>
                <w:lang w:eastAsia="zh-CN"/>
              </w:rPr>
            </w:pPr>
            <w:hyperlink r:id="rId2">
              <w:r>
                <w:rPr>
                  <w:rFonts w:eastAsia="Verdana" w:cs="Verdana" w:ascii="Verdana" w:hAnsi="Verdana"/>
                  <w:i/>
                  <w:color w:val="0000FF"/>
                  <w:sz w:val="16"/>
                  <w:szCs w:val="24"/>
                  <w:u w:val="single" w:color="FFFFFF"/>
                  <w:lang w:eastAsia="zh-CN"/>
                </w:rPr>
                <w:t>www.agricultura.sp.gov.br</w:t>
              </w:r>
            </w:hyperlink>
          </w:p>
        </w:tc>
      </w:tr>
    </w:tbl>
    <w:p>
      <w:pPr>
        <w:pStyle w:val="Normal"/>
        <w:suppressAutoHyphens w:val="true"/>
        <w:spacing w:lineRule="auto" w:line="240" w:before="0" w:after="0"/>
        <w:rPr>
          <w:rFonts w:ascii="Times New Roman" w:hAnsi="Times New Roman" w:eastAsia="Times New Roman" w:cs="Times New Roman"/>
          <w:sz w:val="20"/>
          <w:szCs w:val="24"/>
          <w:lang w:eastAsia="zh-CN"/>
        </w:rPr>
      </w:pPr>
      <w:r>
        <w:rPr>
          <w:rFonts w:eastAsia="Times New Roman" w:cs="Times New Roman" w:ascii="Times New Roman" w:hAnsi="Times New Roman"/>
          <w:sz w:val="20"/>
          <w:szCs w:val="24"/>
          <w:lang w:eastAsia="zh-CN"/>
        </w:rPr>
      </w:r>
    </w:p>
    <w:p>
      <w:pPr>
        <w:pStyle w:val="Normal"/>
        <w:suppressAutoHyphens w:val="true"/>
        <w:spacing w:lineRule="auto" w:line="240" w:before="0" w:after="0"/>
        <w:jc w:val="right"/>
        <w:rPr>
          <w:rFonts w:ascii="Times New Roman" w:hAnsi="Times New Roman" w:eastAsia="Times New Roman" w:cs="Times New Roman"/>
          <w:sz w:val="20"/>
          <w:szCs w:val="24"/>
          <w:lang w:eastAsia="zh-CN"/>
        </w:rPr>
      </w:pPr>
      <w:r>
        <w:rPr>
          <w:rFonts w:eastAsia="Times New Roman" w:cs="Times New Roman" w:ascii="Times New Roman" w:hAnsi="Times New Roman"/>
          <w:sz w:val="20"/>
          <w:szCs w:val="24"/>
          <w:lang w:eastAsia="zh-CN"/>
        </w:rPr>
      </w:r>
    </w:p>
    <w:p>
      <w:pPr>
        <w:pStyle w:val="Normal"/>
        <w:suppressAutoHyphens w:val="true"/>
        <w:spacing w:lineRule="auto" w:line="288" w:before="0" w:after="0"/>
        <w:rPr>
          <w:rFonts w:ascii="Arial" w:hAnsi="Arial" w:eastAsia="Arial" w:cs="Arial"/>
          <w:color w:val="000000"/>
          <w:szCs w:val="24"/>
          <w:lang w:eastAsia="zh-CN"/>
        </w:rPr>
      </w:pPr>
      <w:r>
        <w:rPr>
          <w:rFonts w:eastAsia="Arial" w:cs="Arial" w:ascii="Arial" w:hAnsi="Arial"/>
          <w:color w:val="000000"/>
          <w:szCs w:val="24"/>
          <w:lang w:eastAsia="zh-CN"/>
        </w:rPr>
      </w:r>
    </w:p>
    <w:p>
      <w:pPr>
        <w:pStyle w:val="Normal"/>
        <w:suppressAutoHyphens w:val="true"/>
        <w:spacing w:lineRule="auto" w:line="288" w:before="0" w:after="0"/>
        <w:jc w:val="left"/>
        <w:rPr>
          <w:b/>
          <w:b/>
          <w:bCs/>
        </w:rPr>
      </w:pPr>
      <w:bookmarkStart w:id="0" w:name="_GoBack"/>
      <w:bookmarkEnd w:id="0"/>
      <w:r>
        <w:rPr>
          <w:rFonts w:eastAsia="Arial" w:cs="Arial" w:ascii="Arial" w:hAnsi="Arial"/>
          <w:b/>
          <w:bCs/>
          <w:color w:val="000000"/>
          <w:sz w:val="24"/>
          <w:szCs w:val="24"/>
          <w:lang w:eastAsia="zh-CN"/>
        </w:rPr>
        <w:t>Resolução SAA Nº 34, de 29 de março de 2022.</w:t>
      </w:r>
    </w:p>
    <w:p>
      <w:pPr>
        <w:pStyle w:val="Normal"/>
        <w:widowControl/>
        <w:suppressAutoHyphens w:val="true"/>
        <w:bidi w:val="0"/>
        <w:spacing w:lineRule="auto" w:line="288" w:before="0" w:after="0"/>
        <w:ind w:left="4309" w:right="0" w:hanging="0"/>
        <w:jc w:val="both"/>
        <w:rPr>
          <w:b w:val="false"/>
          <w:b w:val="false"/>
          <w:bCs w:val="false"/>
        </w:rPr>
      </w:pPr>
      <w:r>
        <w:rPr>
          <w:rFonts w:eastAsia="Arial" w:cs="Arial" w:ascii="Arial" w:hAnsi="Arial"/>
          <w:b w:val="false"/>
          <w:bCs w:val="false"/>
          <w:color w:val="000000"/>
          <w:sz w:val="24"/>
          <w:szCs w:val="24"/>
          <w:lang w:eastAsia="zh-CN"/>
        </w:rPr>
        <w:br/>
      </w:r>
      <w:r>
        <w:rPr>
          <w:rFonts w:eastAsia="Arial" w:cs="Arial" w:ascii="Arial" w:hAnsi="Arial"/>
          <w:b/>
          <w:bCs/>
          <w:color w:val="000000"/>
          <w:sz w:val="24"/>
          <w:szCs w:val="24"/>
          <w:lang w:eastAsia="zh-CN"/>
        </w:rPr>
        <w:t>Institui os mapas e as bases espaciais de referência a serem disponibilizados para consulta pública de forma integrada ao SICAR-SP - Sistema de Cadastro Ambiental Rural do Estado de São Paulo, conforme o disposto no artigo 5° do Decreto estadual nº 65.182 de 16 de setembro de 2020.</w:t>
      </w:r>
    </w:p>
    <w:p>
      <w:pPr>
        <w:pStyle w:val="Normal"/>
        <w:suppressAutoHyphens w:val="true"/>
        <w:spacing w:lineRule="auto" w:line="288" w:before="0" w:after="0"/>
        <w:jc w:val="left"/>
        <w:rPr>
          <w:b w:val="false"/>
          <w:b w:val="false"/>
          <w:bCs w:val="false"/>
        </w:rPr>
      </w:pPr>
      <w:r>
        <w:rPr>
          <w:rFonts w:eastAsia="Arial" w:cs="Arial" w:ascii="Arial" w:hAnsi="Arial"/>
          <w:b w:val="false"/>
          <w:bCs w:val="false"/>
          <w:color w:val="000000"/>
          <w:sz w:val="24"/>
          <w:szCs w:val="24"/>
          <w:lang w:eastAsia="zh-CN"/>
        </w:rPr>
        <w:br/>
      </w:r>
      <w:r>
        <w:rPr>
          <w:rFonts w:eastAsia="Arial" w:cs="Arial" w:ascii="Arial" w:hAnsi="Arial"/>
          <w:b/>
          <w:bCs/>
          <w:color w:val="000000"/>
          <w:sz w:val="24"/>
          <w:szCs w:val="24"/>
          <w:lang w:eastAsia="zh-CN"/>
        </w:rPr>
        <w:t xml:space="preserve">O SECRETÁRIO DE AGRICULTURA E ABASTECIMENTO, no uso de suas atribuições legais, e </w:t>
      </w:r>
    </w:p>
    <w:p>
      <w:pPr>
        <w:pStyle w:val="Normal"/>
        <w:suppressAutoHyphens w:val="true"/>
        <w:spacing w:lineRule="auto" w:line="288" w:before="0" w:after="0"/>
        <w:jc w:val="left"/>
        <w:rPr>
          <w:rFonts w:ascii="Arial" w:hAnsi="Arial" w:eastAsia="Arial" w:cs="Arial"/>
          <w:color w:val="000000"/>
          <w:sz w:val="24"/>
          <w:szCs w:val="24"/>
          <w:lang w:eastAsia="zh-CN"/>
        </w:rPr>
      </w:pPr>
      <w:r>
        <w:rPr>
          <w:b/>
          <w:bCs/>
        </w:rPr>
      </w:r>
    </w:p>
    <w:p>
      <w:pPr>
        <w:pStyle w:val="Normal"/>
        <w:suppressAutoHyphens w:val="true"/>
        <w:spacing w:lineRule="auto" w:line="288" w:before="0" w:after="0"/>
        <w:jc w:val="both"/>
        <w:rPr>
          <w:b w:val="false"/>
          <w:b w:val="false"/>
          <w:bCs w:val="false"/>
        </w:rPr>
      </w:pPr>
      <w:r>
        <w:rPr>
          <w:rFonts w:eastAsia="Arial" w:cs="Arial" w:ascii="Arial" w:hAnsi="Arial"/>
          <w:b w:val="false"/>
          <w:bCs w:val="false"/>
          <w:color w:val="000000"/>
          <w:sz w:val="24"/>
          <w:szCs w:val="24"/>
          <w:lang w:eastAsia="zh-CN"/>
        </w:rPr>
        <w:t>CONSIDERANDO o disposto no artigo 3º, do Decreto estadual nº 65.182, de 16 de setembro de 2020, que os proprietários ou possuidores de imóveis rurais que realizaram supressão de vegetação nativa nos termos do artigo 27 da Lei estadual nº 15.684, de 14 de janeiro de 2015, estão dispensados de promover a recomposição, compensação ou regeneração para os percentuais de Reserva Legal exigidos pelo artigo 12 da Lei federal nº 12.651, de 25 de maio de 2012;</w:t>
      </w:r>
    </w:p>
    <w:p>
      <w:pPr>
        <w:pStyle w:val="Normal"/>
        <w:suppressAutoHyphens w:val="true"/>
        <w:spacing w:lineRule="auto" w:line="288" w:before="0" w:after="0"/>
        <w:jc w:val="both"/>
        <w:rPr>
          <w:b w:val="false"/>
          <w:b w:val="false"/>
          <w:bCs w:val="false"/>
        </w:rPr>
      </w:pPr>
      <w:r>
        <w:rPr>
          <w:rFonts w:eastAsia="Arial" w:cs="Arial" w:ascii="Arial" w:hAnsi="Arial"/>
          <w:b w:val="false"/>
          <w:bCs w:val="false"/>
          <w:color w:val="000000"/>
          <w:sz w:val="24"/>
          <w:szCs w:val="24"/>
          <w:lang w:eastAsia="zh-CN"/>
        </w:rPr>
        <w:br/>
        <w:t>CONSIDERANDO o §4°, do artigo 3°, do Decreto estadual nº 65.182, de 16 de setembro de 2020, onde a análise da dispensa da recomposição deverá ser realizada preferencialmente de forma automatizada e considerará, para fins de identificação da anterioridade da supressão da vegetação nativa aos marcos legais previstos no artigo 27 da Lei estadual nº 15.684, de 14 de janeiro de 2015, a sobreposição das bases cartoriais disponíveis no SICAR-SP;</w:t>
      </w:r>
    </w:p>
    <w:p>
      <w:pPr>
        <w:pStyle w:val="Normal"/>
        <w:suppressAutoHyphens w:val="true"/>
        <w:spacing w:lineRule="auto" w:line="288" w:before="0" w:after="0"/>
        <w:jc w:val="both"/>
        <w:rPr>
          <w:b w:val="false"/>
          <w:b w:val="false"/>
          <w:bCs w:val="false"/>
        </w:rPr>
      </w:pPr>
      <w:r>
        <w:rPr>
          <w:rFonts w:eastAsia="Arial" w:cs="Arial" w:ascii="Arial" w:hAnsi="Arial"/>
          <w:b w:val="false"/>
          <w:bCs w:val="false"/>
          <w:color w:val="000000"/>
          <w:sz w:val="24"/>
          <w:szCs w:val="24"/>
          <w:lang w:eastAsia="zh-CN"/>
        </w:rPr>
        <w:br/>
        <w:t>CONSIDERANDO o disposto no Artigo 43, da Instrução Normativa n°2/MMA, de 6 de maio de 2014 que prevê a possibilidade de mecanismo de análise automática das informações declaradas nos Cadastros Ambientais Rurais,</w:t>
      </w:r>
    </w:p>
    <w:p>
      <w:pPr>
        <w:pStyle w:val="Normal"/>
        <w:suppressAutoHyphens w:val="true"/>
        <w:spacing w:lineRule="auto" w:line="288" w:before="0" w:after="0"/>
        <w:jc w:val="both"/>
        <w:rPr>
          <w:b w:val="false"/>
          <w:b w:val="false"/>
          <w:bCs w:val="false"/>
        </w:rPr>
      </w:pPr>
      <w:r>
        <w:rPr>
          <w:rFonts w:eastAsia="Arial" w:cs="Arial" w:ascii="Arial" w:hAnsi="Arial"/>
          <w:b w:val="false"/>
          <w:bCs w:val="false"/>
          <w:color w:val="000000"/>
          <w:sz w:val="24"/>
          <w:szCs w:val="24"/>
          <w:lang w:eastAsia="zh-CN"/>
        </w:rPr>
        <w:br/>
        <w:t>CONSIDERANDO a manifestação prévia do Instituto Geográfico e Cartográfico do Estado de São Paulo e da Secretaria de Infraestrutura e Meio Ambiente (Processo SAA n° 2021/03570) sobre os mapas e bases espaciais integradas ao SICAR-SP.</w:t>
      </w:r>
    </w:p>
    <w:p>
      <w:pPr>
        <w:pStyle w:val="Normal"/>
        <w:suppressAutoHyphens w:val="true"/>
        <w:spacing w:lineRule="auto" w:line="288" w:before="0" w:after="0"/>
        <w:jc w:val="both"/>
        <w:rPr>
          <w:rFonts w:ascii="Arial" w:hAnsi="Arial" w:eastAsia="Arial" w:cs="Arial"/>
          <w:color w:val="000000"/>
          <w:sz w:val="24"/>
          <w:szCs w:val="24"/>
          <w:lang w:eastAsia="zh-CN"/>
        </w:rPr>
      </w:pPr>
      <w:r>
        <w:rPr>
          <w:b w:val="false"/>
          <w:bCs w:val="false"/>
        </w:rPr>
      </w:r>
    </w:p>
    <w:p>
      <w:pPr>
        <w:pStyle w:val="Normal"/>
        <w:suppressAutoHyphens w:val="true"/>
        <w:spacing w:lineRule="auto" w:line="288" w:before="0" w:after="0"/>
        <w:jc w:val="left"/>
        <w:rPr>
          <w:b/>
          <w:b/>
          <w:bCs/>
        </w:rPr>
      </w:pPr>
      <w:r>
        <w:rPr>
          <w:rFonts w:eastAsia="Arial" w:cs="Arial" w:ascii="Arial" w:hAnsi="Arial"/>
          <w:b/>
          <w:bCs/>
          <w:color w:val="000000"/>
          <w:sz w:val="24"/>
          <w:szCs w:val="24"/>
          <w:lang w:eastAsia="zh-CN"/>
        </w:rPr>
        <w:t>RESOLVE:</w:t>
      </w:r>
    </w:p>
    <w:p>
      <w:pPr>
        <w:pStyle w:val="Normal"/>
        <w:suppressAutoHyphens w:val="true"/>
        <w:spacing w:lineRule="auto" w:line="288" w:before="0" w:after="0"/>
        <w:jc w:val="both"/>
        <w:rPr>
          <w:b w:val="false"/>
          <w:b w:val="false"/>
          <w:bCs w:val="false"/>
        </w:rPr>
      </w:pPr>
      <w:r>
        <w:rPr>
          <w:rFonts w:eastAsia="Arial" w:cs="Arial" w:ascii="Arial" w:hAnsi="Arial"/>
          <w:b w:val="false"/>
          <w:bCs w:val="false"/>
          <w:color w:val="000000"/>
          <w:sz w:val="24"/>
          <w:szCs w:val="24"/>
          <w:lang w:eastAsia="zh-CN"/>
        </w:rPr>
        <w:br/>
        <w:t>Artigo 1º - Ficam instituídos nos termos do parágrafo único do artigo 5º do Decreto estadual nº 65.182, de 16 de setembro de 2020, as digitalizações dos seguintes mapas e bases espaciais vetorizados e integrados ao SICAR-SP:</w:t>
      </w:r>
    </w:p>
    <w:p>
      <w:pPr>
        <w:pStyle w:val="Normal"/>
        <w:suppressAutoHyphens w:val="true"/>
        <w:spacing w:lineRule="auto" w:line="288" w:before="0" w:after="0"/>
        <w:jc w:val="left"/>
        <w:rPr>
          <w:b w:val="false"/>
          <w:b w:val="false"/>
          <w:bCs w:val="false"/>
        </w:rPr>
      </w:pPr>
      <w:r>
        <w:rPr>
          <w:rFonts w:eastAsia="Arial" w:cs="Arial" w:ascii="Arial" w:hAnsi="Arial"/>
          <w:b w:val="false"/>
          <w:bCs w:val="false"/>
          <w:color w:val="000000"/>
          <w:sz w:val="24"/>
          <w:szCs w:val="24"/>
          <w:lang w:eastAsia="zh-CN"/>
        </w:rPr>
        <w:br/>
        <w:t>I - Título: Cartas Topográficas 1:50.000 (IBGE / IGG-SP)</w:t>
        <w:br/>
        <w:t xml:space="preserve">    Autor: Instituto Brasileiro de Geografia e Estatística (IBGE)</w:t>
        <w:br/>
        <w:t xml:space="preserve">   Data: 31/12/1970;</w:t>
      </w:r>
    </w:p>
    <w:p>
      <w:pPr>
        <w:pStyle w:val="Normal"/>
        <w:suppressAutoHyphens w:val="true"/>
        <w:spacing w:lineRule="auto" w:line="288" w:before="0" w:after="0"/>
        <w:jc w:val="left"/>
        <w:rPr>
          <w:b w:val="false"/>
          <w:b w:val="false"/>
          <w:bCs w:val="false"/>
        </w:rPr>
      </w:pPr>
      <w:r>
        <w:rPr>
          <w:rFonts w:eastAsia="Arial" w:cs="Arial" w:ascii="Arial" w:hAnsi="Arial"/>
          <w:b w:val="false"/>
          <w:bCs w:val="false"/>
          <w:color w:val="000000"/>
          <w:sz w:val="24"/>
          <w:szCs w:val="24"/>
          <w:lang w:eastAsia="zh-CN"/>
        </w:rPr>
        <w:br/>
        <w:t>II - Título: Mapeamento da Vegetação Natural do Estado de São Paulo – Olho Verde (1988/1989)</w:t>
        <w:br/>
        <w:t xml:space="preserve">    Autor: DEPRN (SMA) / IF / FF / INPE / FUNCATE</w:t>
        <w:br/>
        <w:t xml:space="preserve">    Data: 01/01/1988;</w:t>
      </w:r>
    </w:p>
    <w:p>
      <w:pPr>
        <w:pStyle w:val="Normal"/>
        <w:suppressAutoHyphens w:val="true"/>
        <w:spacing w:lineRule="auto" w:line="288" w:before="0" w:after="0"/>
        <w:jc w:val="left"/>
        <w:rPr>
          <w:b w:val="false"/>
          <w:b w:val="false"/>
          <w:bCs w:val="false"/>
        </w:rPr>
      </w:pPr>
      <w:r>
        <w:rPr>
          <w:rFonts w:eastAsia="Arial" w:cs="Arial" w:ascii="Arial" w:hAnsi="Arial"/>
          <w:b w:val="false"/>
          <w:bCs w:val="false"/>
          <w:color w:val="000000"/>
          <w:sz w:val="24"/>
          <w:szCs w:val="24"/>
          <w:lang w:eastAsia="zh-CN"/>
        </w:rPr>
        <w:br/>
        <w:t>III - Título: Biomas do Estado de São Paulo</w:t>
        <w:br/>
        <w:t xml:space="preserve">      Autor: IBGE - Instituto Brasileiro de Geografia e Estatística / CREN - Coordenação de        Recursos Naturais e Estudos Ambientais</w:t>
        <w:br/>
        <w:t xml:space="preserve">     Data: 01/01/2004;</w:t>
      </w:r>
    </w:p>
    <w:p>
      <w:pPr>
        <w:pStyle w:val="Normal"/>
        <w:suppressAutoHyphens w:val="true"/>
        <w:spacing w:lineRule="auto" w:line="288" w:before="0" w:after="0"/>
        <w:jc w:val="left"/>
        <w:rPr>
          <w:b w:val="false"/>
          <w:b w:val="false"/>
          <w:bCs w:val="false"/>
        </w:rPr>
      </w:pPr>
      <w:r>
        <w:rPr>
          <w:rFonts w:eastAsia="Arial" w:cs="Arial" w:ascii="Arial" w:hAnsi="Arial"/>
          <w:b w:val="false"/>
          <w:bCs w:val="false"/>
          <w:color w:val="000000"/>
          <w:sz w:val="24"/>
          <w:szCs w:val="24"/>
          <w:lang w:eastAsia="zh-CN"/>
        </w:rPr>
        <w:br/>
        <w:t>IV - Título: Inventário Florestal 2020</w:t>
        <w:br/>
        <w:t xml:space="preserve">      Autor: Instituto Florestal</w:t>
        <w:br/>
        <w:t xml:space="preserve">      Data: 14/03/2020;</w:t>
      </w:r>
    </w:p>
    <w:p>
      <w:pPr>
        <w:pStyle w:val="Normal"/>
        <w:suppressAutoHyphens w:val="true"/>
        <w:spacing w:lineRule="auto" w:line="288" w:before="0" w:after="0"/>
        <w:jc w:val="left"/>
        <w:rPr>
          <w:b w:val="false"/>
          <w:b w:val="false"/>
          <w:bCs w:val="false"/>
        </w:rPr>
      </w:pPr>
      <w:r>
        <w:rPr>
          <w:rFonts w:eastAsia="Arial" w:cs="Arial" w:ascii="Arial" w:hAnsi="Arial"/>
          <w:b w:val="false"/>
          <w:bCs w:val="false"/>
          <w:color w:val="000000"/>
          <w:sz w:val="24"/>
          <w:szCs w:val="24"/>
          <w:lang w:eastAsia="zh-CN"/>
        </w:rPr>
        <w:br/>
        <w:t>V - Título: Mapeamento de Uso e Cobertura do Solo.</w:t>
        <w:br/>
        <w:t xml:space="preserve">     Autor: Serviço Florestal Brasileiro/Universidade Federal de Lavras/MG</w:t>
        <w:br/>
        <w:t xml:space="preserve">     Data: 2014.</w:t>
      </w:r>
    </w:p>
    <w:p>
      <w:pPr>
        <w:pStyle w:val="Normal"/>
        <w:suppressAutoHyphens w:val="true"/>
        <w:spacing w:lineRule="auto" w:line="288" w:before="0" w:after="0"/>
        <w:jc w:val="left"/>
        <w:rPr>
          <w:b w:val="false"/>
          <w:b w:val="false"/>
          <w:bCs w:val="false"/>
        </w:rPr>
      </w:pPr>
      <w:r>
        <w:rPr>
          <w:rFonts w:eastAsia="Arial" w:cs="Arial" w:ascii="Arial" w:hAnsi="Arial"/>
          <w:b w:val="false"/>
          <w:bCs w:val="false"/>
          <w:color w:val="000000"/>
          <w:sz w:val="24"/>
          <w:szCs w:val="24"/>
          <w:lang w:eastAsia="zh-CN"/>
        </w:rPr>
        <w:br/>
        <w:t>Artigo 2º - Esta Resolução entra em vigor na data de sua publicação.</w:t>
      </w:r>
    </w:p>
    <w:sectPr>
      <w:type w:val="nextPage"/>
      <w:pgSz w:w="11906" w:h="16838"/>
      <w:pgMar w:left="1134" w:right="1134"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f761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gricultura.sp.gov.b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LibreOffice/7.2.3.2$Windows_X86_64 LibreOffice_project/d166454616c1632304285822f9c83ce2e660fd92</Application>
  <AppVersion>15.0000</AppVersion>
  <Pages>2</Pages>
  <Words>462</Words>
  <Characters>2442</Characters>
  <CharactersWithSpaces>2954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2022-03-28T14:42:00Z</dcterms:created>
  <dc:creator>Maria Cristina de Oliveira Lima Murgel</dc:creator>
  <dc:description/>
  <dc:language>pt-BR</dc:language>
  <cp:lastModifiedBy/>
  <dcterms:modified xsi:type="dcterms:W3CDTF">2022-03-30T09:36:16Z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